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07B" w:rsidRDefault="0003007B">
      <w:pPr>
        <w:spacing w:after="0" w:line="480" w:lineRule="auto"/>
        <w:ind w:firstLine="284"/>
        <w:rPr>
          <w:rFonts w:ascii="Times New Roman" w:hAnsi="Times New Roman" w:cs="Times New Roman"/>
          <w:b/>
          <w:sz w:val="24"/>
        </w:rPr>
      </w:pPr>
    </w:p>
    <w:p w:rsidR="0003007B" w:rsidRDefault="0003007B">
      <w:pPr>
        <w:spacing w:after="0" w:line="480" w:lineRule="auto"/>
        <w:ind w:firstLine="284"/>
        <w:rPr>
          <w:rFonts w:ascii="Times New Roman" w:hAnsi="Times New Roman" w:cs="Times New Roman"/>
          <w:b/>
          <w:sz w:val="24"/>
        </w:rPr>
      </w:pPr>
    </w:p>
    <w:p w:rsidR="0003007B" w:rsidRDefault="0003007B">
      <w:pPr>
        <w:spacing w:after="0" w:line="480" w:lineRule="auto"/>
        <w:ind w:firstLine="284"/>
        <w:rPr>
          <w:rFonts w:ascii="Times New Roman" w:hAnsi="Times New Roman" w:cs="Times New Roman"/>
          <w:b/>
          <w:sz w:val="24"/>
        </w:rPr>
      </w:pPr>
    </w:p>
    <w:p w:rsidR="0003007B" w:rsidRDefault="00A93E28" w:rsidP="00CD02A4">
      <w:pPr>
        <w:spacing w:after="0" w:line="480" w:lineRule="auto"/>
        <w:jc w:val="center"/>
        <w:rPr>
          <w:rFonts w:ascii="Times New Roman" w:hAnsi="Times New Roman" w:cs="Times New Roman"/>
          <w:b/>
          <w:sz w:val="24"/>
        </w:rPr>
      </w:pPr>
      <w:r>
        <w:rPr>
          <w:rFonts w:ascii="Times New Roman" w:hAnsi="Times New Roman" w:cs="Times New Roman"/>
          <w:b/>
          <w:sz w:val="24"/>
        </w:rPr>
        <w:t>Pharmacologic Treatment of Schizophrenia</w:t>
      </w:r>
    </w:p>
    <w:p w:rsidR="0003007B" w:rsidRDefault="0003007B" w:rsidP="00CD02A4">
      <w:pPr>
        <w:spacing w:after="0" w:line="480" w:lineRule="auto"/>
        <w:jc w:val="center"/>
        <w:rPr>
          <w:rFonts w:ascii="Times New Roman" w:hAnsi="Times New Roman" w:cs="Times New Roman"/>
          <w:b/>
          <w:sz w:val="24"/>
        </w:rPr>
      </w:pPr>
    </w:p>
    <w:p w:rsidR="0003007B" w:rsidRDefault="0003007B" w:rsidP="00CD02A4">
      <w:pPr>
        <w:spacing w:after="0" w:line="480" w:lineRule="auto"/>
        <w:jc w:val="center"/>
        <w:rPr>
          <w:rFonts w:ascii="Times New Roman" w:hAnsi="Times New Roman" w:cs="Times New Roman"/>
          <w:b/>
          <w:sz w:val="24"/>
        </w:rPr>
      </w:pPr>
    </w:p>
    <w:p w:rsidR="0003007B" w:rsidRDefault="0003007B" w:rsidP="00CD02A4">
      <w:pPr>
        <w:spacing w:after="0" w:line="480" w:lineRule="auto"/>
        <w:jc w:val="center"/>
        <w:rPr>
          <w:rFonts w:ascii="Times New Roman" w:hAnsi="Times New Roman" w:cs="Times New Roman"/>
          <w:b/>
          <w:sz w:val="24"/>
        </w:rPr>
      </w:pPr>
    </w:p>
    <w:p w:rsidR="0003007B" w:rsidRDefault="0003007B" w:rsidP="00CD02A4">
      <w:pPr>
        <w:spacing w:after="0" w:line="480" w:lineRule="auto"/>
        <w:jc w:val="center"/>
        <w:rPr>
          <w:rFonts w:ascii="Times New Roman" w:hAnsi="Times New Roman" w:cs="Times New Roman"/>
          <w:b/>
          <w:sz w:val="24"/>
        </w:rPr>
      </w:pPr>
    </w:p>
    <w:p w:rsidR="0003007B" w:rsidRPr="00CD02A4" w:rsidRDefault="00A93E28" w:rsidP="00CD02A4">
      <w:pPr>
        <w:spacing w:after="0" w:line="480" w:lineRule="auto"/>
        <w:jc w:val="center"/>
        <w:rPr>
          <w:rFonts w:ascii="Times New Roman" w:hAnsi="Times New Roman" w:cs="Times New Roman"/>
          <w:sz w:val="24"/>
        </w:rPr>
      </w:pPr>
      <w:r w:rsidRPr="00CD02A4">
        <w:rPr>
          <w:rFonts w:ascii="Times New Roman" w:hAnsi="Times New Roman" w:cs="Times New Roman"/>
          <w:sz w:val="24"/>
        </w:rPr>
        <w:t>Name</w:t>
      </w:r>
    </w:p>
    <w:p w:rsidR="0003007B" w:rsidRPr="00CD02A4" w:rsidRDefault="00A93E28" w:rsidP="00CD02A4">
      <w:pPr>
        <w:spacing w:after="0" w:line="480" w:lineRule="auto"/>
        <w:jc w:val="center"/>
        <w:rPr>
          <w:rFonts w:ascii="Times New Roman" w:hAnsi="Times New Roman" w:cs="Times New Roman"/>
          <w:sz w:val="24"/>
        </w:rPr>
      </w:pPr>
      <w:r w:rsidRPr="00CD02A4">
        <w:rPr>
          <w:rFonts w:ascii="Times New Roman" w:hAnsi="Times New Roman" w:cs="Times New Roman"/>
          <w:sz w:val="24"/>
        </w:rPr>
        <w:t>Institution</w:t>
      </w:r>
      <w:r w:rsidR="00CD02A4">
        <w:rPr>
          <w:rFonts w:ascii="Times New Roman" w:hAnsi="Times New Roman" w:cs="Times New Roman"/>
          <w:sz w:val="24"/>
        </w:rPr>
        <w:t xml:space="preserve"> of Affiliation</w:t>
      </w:r>
    </w:p>
    <w:p w:rsidR="0003007B" w:rsidRPr="00CD02A4" w:rsidRDefault="00A93E28" w:rsidP="00CD02A4">
      <w:pPr>
        <w:spacing w:after="0" w:line="480" w:lineRule="auto"/>
        <w:jc w:val="center"/>
        <w:rPr>
          <w:rFonts w:ascii="Times New Roman" w:hAnsi="Times New Roman" w:cs="Times New Roman"/>
          <w:sz w:val="24"/>
        </w:rPr>
      </w:pPr>
      <w:r w:rsidRPr="00CD02A4">
        <w:rPr>
          <w:rFonts w:ascii="Times New Roman" w:hAnsi="Times New Roman" w:cs="Times New Roman"/>
          <w:sz w:val="24"/>
        </w:rPr>
        <w:t>Professor</w:t>
      </w:r>
    </w:p>
    <w:p w:rsidR="0003007B" w:rsidRPr="00CD02A4" w:rsidRDefault="00A93E28" w:rsidP="00CD02A4">
      <w:pPr>
        <w:spacing w:after="0" w:line="480" w:lineRule="auto"/>
        <w:jc w:val="center"/>
        <w:rPr>
          <w:rFonts w:ascii="Times New Roman" w:hAnsi="Times New Roman" w:cs="Times New Roman"/>
          <w:sz w:val="24"/>
        </w:rPr>
      </w:pPr>
      <w:r w:rsidRPr="00CD02A4">
        <w:rPr>
          <w:rFonts w:ascii="Times New Roman" w:hAnsi="Times New Roman" w:cs="Times New Roman"/>
          <w:sz w:val="24"/>
        </w:rPr>
        <w:t>Date</w:t>
      </w:r>
    </w:p>
    <w:p w:rsidR="0003007B" w:rsidRDefault="0003007B">
      <w:pPr>
        <w:spacing w:after="0" w:line="480" w:lineRule="auto"/>
        <w:ind w:firstLine="284"/>
        <w:jc w:val="center"/>
        <w:rPr>
          <w:rFonts w:ascii="Times New Roman" w:hAnsi="Times New Roman" w:cs="Times New Roman"/>
          <w:b/>
          <w:sz w:val="24"/>
        </w:rPr>
      </w:pPr>
    </w:p>
    <w:p w:rsidR="0003007B" w:rsidRDefault="0003007B">
      <w:pPr>
        <w:spacing w:after="0" w:line="480" w:lineRule="auto"/>
        <w:ind w:firstLine="284"/>
        <w:jc w:val="center"/>
        <w:rPr>
          <w:rFonts w:ascii="Times New Roman" w:hAnsi="Times New Roman" w:cs="Times New Roman"/>
          <w:sz w:val="24"/>
        </w:rPr>
      </w:pPr>
    </w:p>
    <w:p w:rsidR="0003007B" w:rsidRDefault="0003007B">
      <w:pPr>
        <w:spacing w:after="0" w:line="480" w:lineRule="auto"/>
        <w:ind w:firstLine="284"/>
        <w:jc w:val="center"/>
        <w:rPr>
          <w:rFonts w:ascii="Times New Roman" w:hAnsi="Times New Roman" w:cs="Times New Roman"/>
          <w:sz w:val="24"/>
        </w:rPr>
      </w:pPr>
    </w:p>
    <w:p w:rsidR="0003007B" w:rsidRDefault="0003007B">
      <w:pPr>
        <w:spacing w:after="0" w:line="480" w:lineRule="auto"/>
        <w:ind w:firstLine="284"/>
        <w:jc w:val="center"/>
        <w:rPr>
          <w:rFonts w:ascii="Times New Roman" w:hAnsi="Times New Roman" w:cs="Times New Roman"/>
          <w:sz w:val="24"/>
        </w:rPr>
      </w:pPr>
    </w:p>
    <w:p w:rsidR="0003007B" w:rsidRDefault="0003007B">
      <w:pPr>
        <w:spacing w:after="0" w:line="480" w:lineRule="auto"/>
        <w:ind w:firstLine="284"/>
        <w:jc w:val="center"/>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b/>
          <w:sz w:val="24"/>
        </w:rPr>
      </w:pPr>
    </w:p>
    <w:p w:rsidR="0003007B" w:rsidRDefault="0003007B">
      <w:pPr>
        <w:spacing w:after="0" w:line="480" w:lineRule="auto"/>
        <w:ind w:firstLine="284"/>
        <w:rPr>
          <w:rFonts w:ascii="Times New Roman" w:hAnsi="Times New Roman" w:cs="Times New Roman"/>
          <w:b/>
          <w:sz w:val="24"/>
        </w:rPr>
      </w:pPr>
    </w:p>
    <w:p w:rsidR="0003007B" w:rsidRDefault="0003007B">
      <w:pPr>
        <w:spacing w:after="0" w:line="480" w:lineRule="auto"/>
        <w:ind w:firstLine="284"/>
        <w:rPr>
          <w:rFonts w:ascii="Times New Roman" w:hAnsi="Times New Roman" w:cs="Times New Roman"/>
          <w:b/>
          <w:sz w:val="24"/>
        </w:rPr>
      </w:pPr>
    </w:p>
    <w:p w:rsidR="0003007B" w:rsidRDefault="0003007B">
      <w:pPr>
        <w:spacing w:after="0" w:line="480" w:lineRule="auto"/>
        <w:ind w:firstLine="284"/>
        <w:rPr>
          <w:rFonts w:ascii="Times New Roman" w:hAnsi="Times New Roman" w:cs="Times New Roman"/>
          <w:b/>
          <w:sz w:val="24"/>
        </w:rPr>
      </w:pPr>
    </w:p>
    <w:p w:rsidR="0003007B" w:rsidRDefault="0003007B">
      <w:pPr>
        <w:spacing w:after="0" w:line="480" w:lineRule="auto"/>
        <w:ind w:firstLine="284"/>
        <w:rPr>
          <w:rFonts w:ascii="Times New Roman" w:hAnsi="Times New Roman" w:cs="Times New Roman"/>
          <w:b/>
          <w:sz w:val="24"/>
        </w:rPr>
      </w:pPr>
    </w:p>
    <w:p w:rsidR="0003007B" w:rsidRPr="00CD02A4" w:rsidRDefault="00A93E28">
      <w:pPr>
        <w:spacing w:after="0" w:line="480" w:lineRule="auto"/>
        <w:ind w:firstLine="284"/>
        <w:jc w:val="center"/>
        <w:rPr>
          <w:rFonts w:ascii="Times New Roman" w:hAnsi="Times New Roman" w:cs="Times New Roman"/>
          <w:b/>
          <w:sz w:val="24"/>
        </w:rPr>
      </w:pPr>
      <w:r w:rsidRPr="00CD02A4">
        <w:rPr>
          <w:rFonts w:ascii="Times New Roman" w:hAnsi="Times New Roman" w:cs="Times New Roman"/>
          <w:b/>
          <w:sz w:val="24"/>
        </w:rPr>
        <w:lastRenderedPageBreak/>
        <w:t>Pharmacologic Treatment of Schizophrenia</w:t>
      </w:r>
    </w:p>
    <w:p w:rsidR="0003007B" w:rsidRDefault="00A93E28" w:rsidP="00CD02A4">
      <w:pPr>
        <w:spacing w:after="0" w:line="480" w:lineRule="auto"/>
        <w:ind w:firstLine="720"/>
        <w:rPr>
          <w:rFonts w:ascii="Times New Roman" w:hAnsi="Times New Roman" w:cs="Times New Roman"/>
          <w:sz w:val="24"/>
        </w:rPr>
      </w:pPr>
      <w:r>
        <w:rPr>
          <w:rFonts w:ascii="Times New Roman" w:hAnsi="Times New Roman" w:cs="Times New Roman"/>
          <w:sz w:val="24"/>
        </w:rPr>
        <w:t>The treatment outcome revealed that response is used by clinicians to determine whether a certain</w:t>
      </w:r>
      <w:r>
        <w:rPr>
          <w:rFonts w:ascii="Times New Roman" w:hAnsi="Times New Roman" w:cs="Times New Roman"/>
          <w:sz w:val="24"/>
        </w:rPr>
        <w:t xml:space="preserve"> treatment is effective or not. Laboratory tests, physical signs</w:t>
      </w:r>
      <w:r>
        <w:rPr>
          <w:rFonts w:hAnsi="Times New Roman" w:cs="Times New Roman"/>
          <w:sz w:val="24"/>
        </w:rPr>
        <w:t>,</w:t>
      </w:r>
      <w:r>
        <w:rPr>
          <w:rFonts w:ascii="Times New Roman" w:hAnsi="Times New Roman" w:cs="Times New Roman"/>
          <w:sz w:val="24"/>
        </w:rPr>
        <w:t xml:space="preserve"> and imaging are used to measure the response of patients to certain treatments. Response to treatment is also used to insinuate any significant improvement by the target patient. It could al</w:t>
      </w:r>
      <w:r>
        <w:rPr>
          <w:rFonts w:ascii="Times New Roman" w:hAnsi="Times New Roman" w:cs="Times New Roman"/>
          <w:sz w:val="24"/>
        </w:rPr>
        <w:t>so mean an improvement in the psychopathology of the condition being treated. Dosage</w:t>
      </w:r>
      <w:r>
        <w:rPr>
          <w:rFonts w:ascii="Times New Roman" w:hAnsi="Times New Roman" w:cs="Times New Roman"/>
          <w:sz w:val="24"/>
        </w:rPr>
        <w:t>,</w:t>
      </w:r>
      <w:r>
        <w:rPr>
          <w:rFonts w:ascii="Times New Roman" w:hAnsi="Times New Roman" w:cs="Times New Roman"/>
          <w:sz w:val="24"/>
        </w:rPr>
        <w:t xml:space="preserve"> the treatment duration</w:t>
      </w:r>
      <w:r>
        <w:rPr>
          <w:rFonts w:ascii="Times New Roman" w:hAnsi="Times New Roman" w:cs="Times New Roman"/>
          <w:sz w:val="24"/>
        </w:rPr>
        <w:t>,</w:t>
      </w:r>
      <w:r>
        <w:rPr>
          <w:rFonts w:ascii="Times New Roman" w:hAnsi="Times New Roman" w:cs="Times New Roman"/>
          <w:sz w:val="24"/>
        </w:rPr>
        <w:t xml:space="preserve"> the adherence to medication taking, metabolism</w:t>
      </w:r>
      <w:r>
        <w:rPr>
          <w:rFonts w:hAnsi="Times New Roman" w:cs="Times New Roman"/>
          <w:sz w:val="24"/>
        </w:rPr>
        <w:t>,</w:t>
      </w:r>
      <w:r>
        <w:rPr>
          <w:rFonts w:ascii="Times New Roman" w:hAnsi="Times New Roman" w:cs="Times New Roman"/>
          <w:sz w:val="24"/>
        </w:rPr>
        <w:t xml:space="preserve"> and bioavailability are key considerations in measuring response. The degree of residual psychopat</w:t>
      </w:r>
      <w:r>
        <w:rPr>
          <w:rFonts w:ascii="Times New Roman" w:hAnsi="Times New Roman" w:cs="Times New Roman"/>
          <w:sz w:val="24"/>
        </w:rPr>
        <w:t>hology is also relevant in determining what subsequent treatments a patient may require (Kane &amp; Correll, 2010).</w:t>
      </w:r>
    </w:p>
    <w:p w:rsidR="0003007B" w:rsidRDefault="00A93E28" w:rsidP="00CD02A4">
      <w:pPr>
        <w:spacing w:after="0" w:line="480" w:lineRule="auto"/>
        <w:ind w:firstLine="720"/>
        <w:rPr>
          <w:rFonts w:ascii="Times New Roman" w:hAnsi="Times New Roman" w:cs="Times New Roman"/>
          <w:sz w:val="24"/>
        </w:rPr>
      </w:pPr>
      <w:r>
        <w:rPr>
          <w:rFonts w:ascii="Times New Roman" w:hAnsi="Times New Roman" w:cs="Times New Roman"/>
          <w:sz w:val="24"/>
        </w:rPr>
        <w:t>Remission happens within four to six weeks of treatment. In the diagnosis of schizophrenia, remission is best measured using the positive and ne</w:t>
      </w:r>
      <w:r>
        <w:rPr>
          <w:rFonts w:ascii="Times New Roman" w:hAnsi="Times New Roman" w:cs="Times New Roman"/>
          <w:sz w:val="24"/>
        </w:rPr>
        <w:t>gative syndrome scale (PANSS), the scale for the assessment of positive symptoms</w:t>
      </w:r>
      <w:r>
        <w:rPr>
          <w:rFonts w:hAnsi="Times New Roman" w:cs="Times New Roman"/>
          <w:sz w:val="24"/>
        </w:rPr>
        <w:t>,</w:t>
      </w:r>
      <w:r>
        <w:rPr>
          <w:rFonts w:ascii="Times New Roman" w:hAnsi="Times New Roman" w:cs="Times New Roman"/>
          <w:sz w:val="24"/>
        </w:rPr>
        <w:t xml:space="preserve"> and the scale for the assessment of negative symptoms. According to </w:t>
      </w:r>
      <w:r>
        <w:rPr>
          <w:rFonts w:hAnsi="Times New Roman" w:cs="Times New Roman"/>
          <w:sz w:val="24"/>
        </w:rPr>
        <w:t xml:space="preserve">the </w:t>
      </w:r>
      <w:r>
        <w:rPr>
          <w:rFonts w:ascii="Times New Roman" w:hAnsi="Times New Roman" w:cs="Times New Roman"/>
          <w:sz w:val="24"/>
        </w:rPr>
        <w:t>PANSS scale, when the eight corresponding items are rated a</w:t>
      </w:r>
      <w:r>
        <w:rPr>
          <w:rFonts w:ascii="Times New Roman" w:hAnsi="Times New Roman" w:cs="Times New Roman"/>
          <w:sz w:val="24"/>
        </w:rPr>
        <w:t>s</w:t>
      </w:r>
      <w:r>
        <w:rPr>
          <w:rFonts w:ascii="Times New Roman" w:hAnsi="Times New Roman" w:cs="Times New Roman"/>
          <w:sz w:val="24"/>
        </w:rPr>
        <w:t xml:space="preserve"> less than mild for six concurrent months </w:t>
      </w:r>
      <w:r>
        <w:rPr>
          <w:rFonts w:ascii="Times New Roman" w:hAnsi="Times New Roman" w:cs="Times New Roman"/>
          <w:sz w:val="24"/>
        </w:rPr>
        <w:t>then remission has not occurred.</w:t>
      </w:r>
      <w:r>
        <w:rPr>
          <w:rFonts w:ascii="Times New Roman" w:hAnsi="Times New Roman" w:cs="Times New Roman"/>
          <w:sz w:val="24"/>
        </w:rPr>
        <w:t xml:space="preserve">  In the event a patient does not undergo remission within these six months, the clinician is required to carry out evaluation tests like a diagnostic error, inadequate dosage, non-adherence, comorbid conditions, inadequate </w:t>
      </w:r>
      <w:r>
        <w:rPr>
          <w:rFonts w:ascii="Times New Roman" w:hAnsi="Times New Roman" w:cs="Times New Roman"/>
          <w:sz w:val="24"/>
        </w:rPr>
        <w:t>blood levels, drug-drug interaction, substance abuse, ineffective drugs and test for any other adverse effects that could interfere with clinical processes. Clinicians then respond to the evaluation appropriately like adding a second drug.</w:t>
      </w:r>
    </w:p>
    <w:p w:rsidR="0003007B" w:rsidRDefault="00A93E28" w:rsidP="00CD02A4">
      <w:pPr>
        <w:spacing w:after="0" w:line="480" w:lineRule="auto"/>
        <w:ind w:firstLine="720"/>
        <w:rPr>
          <w:rFonts w:ascii="Times New Roman" w:hAnsi="Times New Roman" w:cs="Times New Roman"/>
          <w:sz w:val="24"/>
        </w:rPr>
      </w:pPr>
      <w:r>
        <w:rPr>
          <w:rFonts w:ascii="Times New Roman" w:hAnsi="Times New Roman" w:cs="Times New Roman"/>
          <w:sz w:val="24"/>
        </w:rPr>
        <w:t xml:space="preserve">Recovery is essential because functional outcomes are the apparent goals for schizophrenic interventions. Recovery is measured using symptomatic remission, the minimum level of educational functioning, the patient’s ability to carry out their daily duties </w:t>
      </w:r>
      <w:r>
        <w:rPr>
          <w:rFonts w:ascii="Times New Roman" w:hAnsi="Times New Roman" w:cs="Times New Roman"/>
          <w:sz w:val="24"/>
        </w:rPr>
        <w:t xml:space="preserve">without </w:t>
      </w:r>
      <w:r>
        <w:rPr>
          <w:rFonts w:ascii="Times New Roman" w:hAnsi="Times New Roman" w:cs="Times New Roman"/>
          <w:sz w:val="24"/>
        </w:rPr>
        <w:t>supervision</w:t>
      </w:r>
      <w:r>
        <w:rPr>
          <w:rFonts w:hAnsi="Times New Roman" w:cs="Times New Roman"/>
          <w:sz w:val="24"/>
        </w:rPr>
        <w:t>,</w:t>
      </w:r>
      <w:r>
        <w:rPr>
          <w:rFonts w:ascii="Times New Roman" w:hAnsi="Times New Roman" w:cs="Times New Roman"/>
          <w:sz w:val="24"/>
        </w:rPr>
        <w:t xml:space="preserve"> and the patient having at least one social contact outside the family line in a week. If </w:t>
      </w:r>
      <w:r>
        <w:rPr>
          <w:rFonts w:ascii="Times New Roman" w:hAnsi="Times New Roman" w:cs="Times New Roman"/>
          <w:sz w:val="24"/>
        </w:rPr>
        <w:lastRenderedPageBreak/>
        <w:t>this happens for two concurrent years, then the patient can be said to have recovered. It is also essential to combine pharmacological treatments,</w:t>
      </w:r>
      <w:r>
        <w:rPr>
          <w:rFonts w:ascii="Times New Roman" w:hAnsi="Times New Roman" w:cs="Times New Roman"/>
          <w:sz w:val="24"/>
        </w:rPr>
        <w:t xml:space="preserve"> targeted psychosocial treatments</w:t>
      </w:r>
      <w:r>
        <w:rPr>
          <w:rFonts w:hAnsi="Times New Roman" w:cs="Times New Roman"/>
          <w:sz w:val="24"/>
        </w:rPr>
        <w:t>,</w:t>
      </w:r>
      <w:r>
        <w:rPr>
          <w:rFonts w:ascii="Times New Roman" w:hAnsi="Times New Roman" w:cs="Times New Roman"/>
          <w:sz w:val="24"/>
        </w:rPr>
        <w:t xml:space="preserve"> and broad psychosocial treatments so as to enhance vocational and psychosocial functioning. Strategies aimed at enhancing medication adherence levels are also critical as they facilitate recovery.</w:t>
      </w:r>
    </w:p>
    <w:p w:rsidR="0003007B" w:rsidRDefault="00A93E28" w:rsidP="00CD02A4">
      <w:pPr>
        <w:spacing w:after="0" w:line="480" w:lineRule="auto"/>
        <w:ind w:firstLine="720"/>
        <w:rPr>
          <w:rFonts w:ascii="Times New Roman" w:hAnsi="Times New Roman" w:cs="Times New Roman"/>
          <w:sz w:val="24"/>
        </w:rPr>
      </w:pPr>
      <w:r>
        <w:rPr>
          <w:rFonts w:ascii="Times New Roman" w:hAnsi="Times New Roman" w:cs="Times New Roman"/>
          <w:sz w:val="24"/>
        </w:rPr>
        <w:t xml:space="preserve">It is still challenging </w:t>
      </w:r>
      <w:r>
        <w:rPr>
          <w:rFonts w:ascii="Times New Roman" w:hAnsi="Times New Roman" w:cs="Times New Roman"/>
          <w:sz w:val="24"/>
        </w:rPr>
        <w:t>to determine whether a patient has had enough trial upon response, recovery</w:t>
      </w:r>
      <w:r>
        <w:rPr>
          <w:rFonts w:hAnsi="Times New Roman" w:cs="Times New Roman"/>
          <w:sz w:val="24"/>
        </w:rPr>
        <w:t>,</w:t>
      </w:r>
      <w:r>
        <w:rPr>
          <w:rFonts w:ascii="Times New Roman" w:hAnsi="Times New Roman" w:cs="Times New Roman"/>
          <w:sz w:val="24"/>
        </w:rPr>
        <w:t xml:space="preserve"> and remission being achieved. Current studies have revealed that while controlling the placebo responses, the greatest improvement related to psychotic symptoms and signs occurs i</w:t>
      </w:r>
      <w:r>
        <w:rPr>
          <w:rFonts w:ascii="Times New Roman" w:hAnsi="Times New Roman" w:cs="Times New Roman"/>
          <w:sz w:val="24"/>
        </w:rPr>
        <w:t>n the first week of trial. At the same time</w:t>
      </w:r>
      <w:r>
        <w:rPr>
          <w:rFonts w:hAnsi="Times New Roman" w:cs="Times New Roman"/>
          <w:sz w:val="24"/>
        </w:rPr>
        <w:t>,</w:t>
      </w:r>
      <w:r>
        <w:rPr>
          <w:rFonts w:ascii="Times New Roman" w:hAnsi="Times New Roman" w:cs="Times New Roman"/>
          <w:sz w:val="24"/>
        </w:rPr>
        <w:t xml:space="preserve"> the separation between the drug and placebo effects regarding positive psychotic symptoms occurs in twenty-four hours. Patients who have a poor early response are more likely to discontinue trials (Kane &amp; Correl</w:t>
      </w:r>
      <w:r>
        <w:rPr>
          <w:rFonts w:ascii="Times New Roman" w:hAnsi="Times New Roman" w:cs="Times New Roman"/>
          <w:sz w:val="24"/>
        </w:rPr>
        <w:t>l, 2010).</w:t>
      </w:r>
      <w:r>
        <w:rPr>
          <w:rFonts w:hAnsi="Times New Roman" w:cs="Times New Roman"/>
          <w:sz w:val="24"/>
        </w:rPr>
        <w:t xml:space="preserve"> </w:t>
      </w:r>
      <w:r>
        <w:rPr>
          <w:rFonts w:ascii="Times New Roman" w:hAnsi="Times New Roman" w:cs="Times New Roman"/>
          <w:sz w:val="24"/>
        </w:rPr>
        <w:t>Consequently, the cost of caring for these patients is higher than the cost of caring for patients with robust early responses. Switching schizophrenic treatments to using Olanzapine is very efficient</w:t>
      </w:r>
      <w:r>
        <w:rPr>
          <w:rFonts w:ascii="Times New Roman" w:hAnsi="Times New Roman" w:cs="Times New Roman"/>
          <w:sz w:val="24"/>
        </w:rPr>
        <w:t xml:space="preserve"> although</w:t>
      </w:r>
      <w:r>
        <w:rPr>
          <w:rFonts w:ascii="Times New Roman" w:hAnsi="Times New Roman" w:cs="Times New Roman"/>
          <w:sz w:val="24"/>
        </w:rPr>
        <w:t xml:space="preserve"> patients who are more severely ill b</w:t>
      </w:r>
      <w:r>
        <w:rPr>
          <w:rFonts w:ascii="Times New Roman" w:hAnsi="Times New Roman" w:cs="Times New Roman"/>
          <w:sz w:val="24"/>
        </w:rPr>
        <w:t>enefit the most from the switch to using olanzapine.  The lack of at least a minimal response within two weeks of treatment is a strong indication that the treatment the patient is on is most likely going to bring the desired positive response.</w:t>
      </w:r>
    </w:p>
    <w:p w:rsidR="0003007B" w:rsidRDefault="00A93E28" w:rsidP="00CD02A4">
      <w:pPr>
        <w:spacing w:after="0" w:line="480" w:lineRule="auto"/>
        <w:ind w:firstLine="720"/>
        <w:rPr>
          <w:rFonts w:ascii="Times New Roman" w:hAnsi="Times New Roman" w:cs="Times New Roman"/>
          <w:sz w:val="24"/>
        </w:rPr>
      </w:pPr>
      <w:r>
        <w:rPr>
          <w:rFonts w:ascii="Times New Roman" w:hAnsi="Times New Roman" w:cs="Times New Roman"/>
          <w:sz w:val="24"/>
        </w:rPr>
        <w:t>While switc</w:t>
      </w:r>
      <w:r>
        <w:rPr>
          <w:rFonts w:ascii="Times New Roman" w:hAnsi="Times New Roman" w:cs="Times New Roman"/>
          <w:sz w:val="24"/>
        </w:rPr>
        <w:t>hing antipsychotics, it is wise to choose an agent that has a different receptor binding profile. Antipsychotic poly-pharmacy aims at making effective the switching to a medication that has a different receptor binding profile to cater to the needs of poor</w:t>
      </w:r>
      <w:r>
        <w:rPr>
          <w:rFonts w:ascii="Times New Roman" w:hAnsi="Times New Roman" w:cs="Times New Roman"/>
          <w:sz w:val="24"/>
        </w:rPr>
        <w:t xml:space="preserve"> and partial responders. The combination of multiple drugs is responsible for the complex receptor binding profile that Olanzapine has. Combination therapy is thus most efficient when used from the beginning of the treatment as opposed to </w:t>
      </w:r>
      <w:r>
        <w:rPr>
          <w:rFonts w:ascii="Times New Roman" w:hAnsi="Times New Roman" w:cs="Times New Roman"/>
          <w:sz w:val="24"/>
        </w:rPr>
        <w:t>switching to</w:t>
      </w:r>
      <w:r>
        <w:rPr>
          <w:rFonts w:ascii="Times New Roman" w:hAnsi="Times New Roman" w:cs="Times New Roman"/>
          <w:sz w:val="24"/>
        </w:rPr>
        <w:t xml:space="preserve"> olan</w:t>
      </w:r>
      <w:r>
        <w:rPr>
          <w:rFonts w:ascii="Times New Roman" w:hAnsi="Times New Roman" w:cs="Times New Roman"/>
          <w:sz w:val="24"/>
        </w:rPr>
        <w:t xml:space="preserve">zapine when the patient is poorly or partially responding to antipsychotics. Olanzapine is superior to the second-generation antipsychotics and is effective in managing poor responders. Lamotrigine has been found to have </w:t>
      </w:r>
      <w:r>
        <w:rPr>
          <w:rFonts w:ascii="Times New Roman" w:hAnsi="Times New Roman" w:cs="Times New Roman"/>
          <w:sz w:val="24"/>
        </w:rPr>
        <w:lastRenderedPageBreak/>
        <w:t>some significant effects in treatin</w:t>
      </w:r>
      <w:r>
        <w:rPr>
          <w:rFonts w:ascii="Times New Roman" w:hAnsi="Times New Roman" w:cs="Times New Roman"/>
          <w:sz w:val="24"/>
        </w:rPr>
        <w:t xml:space="preserve">g schizophrenia. Augmentation treatments combined with glycine transporter inhibitors also yield positive effects on schizophrenic patients. Combining adjunctive treatment with antidepressants also reduces negative symptoms in schizophrenic patients. </w:t>
      </w:r>
    </w:p>
    <w:p w:rsidR="0003007B" w:rsidRDefault="00A93E28" w:rsidP="00CD02A4">
      <w:pPr>
        <w:spacing w:after="0" w:line="480" w:lineRule="auto"/>
        <w:ind w:firstLine="720"/>
        <w:rPr>
          <w:rFonts w:ascii="Times New Roman" w:hAnsi="Times New Roman" w:cs="Times New Roman"/>
          <w:sz w:val="24"/>
        </w:rPr>
      </w:pPr>
      <w:r>
        <w:rPr>
          <w:rFonts w:ascii="Times New Roman" w:hAnsi="Times New Roman" w:cs="Times New Roman"/>
          <w:sz w:val="24"/>
        </w:rPr>
        <w:t>Ther</w:t>
      </w:r>
      <w:r>
        <w:rPr>
          <w:rFonts w:ascii="Times New Roman" w:hAnsi="Times New Roman" w:cs="Times New Roman"/>
          <w:sz w:val="24"/>
        </w:rPr>
        <w:t>e are some subgroups of patients who do not relapse although there is no direct way of determining that prior to stopping medications on them. The type of medication chosen is vital as different drugs have short and other long-term adverse effects. Second-</w:t>
      </w:r>
      <w:r>
        <w:rPr>
          <w:rFonts w:ascii="Times New Roman" w:hAnsi="Times New Roman" w:cs="Times New Roman"/>
          <w:sz w:val="24"/>
        </w:rPr>
        <w:t>generation drugs have lower relapse rates compared to first-generation antipsychotics. It is important that adverse effects be watched out for in the management of schizophrenia. Adverse effects can hinder effective treatment, the subjective wellbeing of t</w:t>
      </w:r>
      <w:r>
        <w:rPr>
          <w:rFonts w:ascii="Times New Roman" w:hAnsi="Times New Roman" w:cs="Times New Roman"/>
          <w:sz w:val="24"/>
        </w:rPr>
        <w:t>he patients, the functional capacity, the life expectancy</w:t>
      </w:r>
      <w:r>
        <w:rPr>
          <w:rFonts w:hAnsi="Times New Roman" w:cs="Times New Roman"/>
          <w:sz w:val="24"/>
        </w:rPr>
        <w:t>,</w:t>
      </w:r>
      <w:r>
        <w:rPr>
          <w:rFonts w:ascii="Times New Roman" w:hAnsi="Times New Roman" w:cs="Times New Roman"/>
          <w:sz w:val="24"/>
        </w:rPr>
        <w:t xml:space="preserve"> and the quality of life among different patients. Sleeping difficulties, sedation, sexual and reproductive health challenges, changes in blood pressure, blood glucose, blood lipids as well as weigh</w:t>
      </w:r>
      <w:r>
        <w:rPr>
          <w:rFonts w:ascii="Times New Roman" w:hAnsi="Times New Roman" w:cs="Times New Roman"/>
          <w:sz w:val="24"/>
        </w:rPr>
        <w:t>t changes</w:t>
      </w:r>
      <w:r>
        <w:rPr>
          <w:rFonts w:hAnsi="Times New Roman" w:cs="Times New Roman"/>
          <w:sz w:val="24"/>
        </w:rPr>
        <w:t>,</w:t>
      </w:r>
      <w:r>
        <w:rPr>
          <w:rFonts w:ascii="Times New Roman" w:hAnsi="Times New Roman" w:cs="Times New Roman"/>
          <w:sz w:val="24"/>
        </w:rPr>
        <w:t xml:space="preserve"> and involuntary movements should be watched in the management of schizophrenia.</w:t>
      </w:r>
    </w:p>
    <w:p w:rsidR="0003007B" w:rsidRDefault="00A93E28" w:rsidP="00CD02A4">
      <w:pPr>
        <w:spacing w:after="0" w:line="480" w:lineRule="auto"/>
        <w:ind w:firstLine="720"/>
        <w:rPr>
          <w:rFonts w:ascii="Times New Roman" w:hAnsi="Times New Roman" w:cs="Times New Roman"/>
          <w:sz w:val="24"/>
        </w:rPr>
      </w:pPr>
      <w:r>
        <w:rPr>
          <w:rFonts w:ascii="Times New Roman" w:hAnsi="Times New Roman" w:cs="Times New Roman"/>
          <w:sz w:val="24"/>
        </w:rPr>
        <w:t>While treating refractory patients, and in order to avoid cardiovascular complications, switching medications is relevant. The use and sequence of medications should</w:t>
      </w:r>
      <w:r>
        <w:rPr>
          <w:rFonts w:ascii="Times New Roman" w:hAnsi="Times New Roman" w:cs="Times New Roman"/>
          <w:sz w:val="24"/>
        </w:rPr>
        <w:t xml:space="preserve"> be prioritized as opposed to the type of medication. Most schizophrenic patients are asymptomatic, have functionality impairments, often develop intolerance to different treatments, and are often dissatisfied with treatment; </w:t>
      </w:r>
      <w:r>
        <w:rPr>
          <w:rFonts w:ascii="Times New Roman" w:hAnsi="Times New Roman" w:cs="Times New Roman"/>
          <w:sz w:val="24"/>
        </w:rPr>
        <w:t xml:space="preserve">and thus </w:t>
      </w:r>
      <w:r>
        <w:rPr>
          <w:rFonts w:ascii="Times New Roman" w:hAnsi="Times New Roman" w:cs="Times New Roman"/>
          <w:sz w:val="24"/>
        </w:rPr>
        <w:t xml:space="preserve">medication switching </w:t>
      </w:r>
      <w:r>
        <w:rPr>
          <w:rFonts w:ascii="Times New Roman" w:hAnsi="Times New Roman" w:cs="Times New Roman"/>
          <w:sz w:val="24"/>
        </w:rPr>
        <w:t>has become prevalent in schizophrenia management. Clinicians are however required to consider the current psychosocial situation, the level of support, comorbidity conditions and the patient’s level of support before switching medication. The consideration</w:t>
      </w:r>
      <w:r>
        <w:rPr>
          <w:rFonts w:ascii="Times New Roman" w:hAnsi="Times New Roman" w:cs="Times New Roman"/>
          <w:sz w:val="24"/>
        </w:rPr>
        <w:t xml:space="preserve"> of the pharmacologic profiles of the pre-switch and post-switch need to be analyzed for appropriate switching to be done. In order to avoid a </w:t>
      </w:r>
      <w:r>
        <w:rPr>
          <w:rFonts w:ascii="Times New Roman" w:hAnsi="Times New Roman" w:cs="Times New Roman"/>
          <w:sz w:val="24"/>
        </w:rPr>
        <w:lastRenderedPageBreak/>
        <w:t>phenomen</w:t>
      </w:r>
      <w:r>
        <w:rPr>
          <w:rFonts w:hAnsi="Times New Roman" w:cs="Times New Roman"/>
          <w:sz w:val="24"/>
        </w:rPr>
        <w:t>on</w:t>
      </w:r>
      <w:r>
        <w:rPr>
          <w:rFonts w:ascii="Times New Roman" w:hAnsi="Times New Roman" w:cs="Times New Roman"/>
          <w:sz w:val="24"/>
        </w:rPr>
        <w:t xml:space="preserve"> where pharmacodynamics and pharmacokinetic rebound occurs, an overlapping cross titration should be im</w:t>
      </w:r>
      <w:r>
        <w:rPr>
          <w:rFonts w:ascii="Times New Roman" w:hAnsi="Times New Roman" w:cs="Times New Roman"/>
          <w:sz w:val="24"/>
        </w:rPr>
        <w:t>planted or withdrawal symptoms be treated (Kane &amp; Correll, 2010).</w:t>
      </w: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Default="0003007B">
      <w:pPr>
        <w:spacing w:after="0" w:line="480" w:lineRule="auto"/>
        <w:ind w:firstLine="284"/>
        <w:rPr>
          <w:rFonts w:ascii="Times New Roman" w:hAnsi="Times New Roman" w:cs="Times New Roman"/>
          <w:sz w:val="24"/>
        </w:rPr>
      </w:pPr>
    </w:p>
    <w:p w:rsidR="0003007B" w:rsidRPr="00CD02A4" w:rsidRDefault="00A93E28">
      <w:pPr>
        <w:spacing w:after="0" w:line="480" w:lineRule="auto"/>
        <w:ind w:firstLine="284"/>
        <w:jc w:val="center"/>
        <w:rPr>
          <w:rFonts w:ascii="Times New Roman" w:hAnsi="Times New Roman" w:cs="Times New Roman"/>
          <w:b/>
          <w:sz w:val="24"/>
        </w:rPr>
      </w:pPr>
      <w:r w:rsidRPr="00CD02A4">
        <w:rPr>
          <w:rFonts w:ascii="Times New Roman" w:hAnsi="Times New Roman" w:cs="Times New Roman"/>
          <w:b/>
          <w:sz w:val="24"/>
        </w:rPr>
        <w:lastRenderedPageBreak/>
        <w:t>References</w:t>
      </w:r>
    </w:p>
    <w:p w:rsidR="00CD02A4" w:rsidRDefault="00A93E28">
      <w:pPr>
        <w:spacing w:after="0" w:line="480" w:lineRule="auto"/>
        <w:ind w:left="284" w:hanging="284"/>
        <w:rPr>
          <w:rFonts w:ascii="Times New Roman" w:hAnsi="Times New Roman" w:cs="Times New Roman"/>
          <w:sz w:val="24"/>
        </w:rPr>
      </w:pPr>
      <w:r>
        <w:rPr>
          <w:rFonts w:ascii="Times New Roman" w:hAnsi="Times New Roman" w:cs="Times New Roman"/>
          <w:sz w:val="24"/>
        </w:rPr>
        <w:t xml:space="preserve">Kane, M.J. &amp; Correll, U.C. (2010). Pharmacologic Treatment of Schizophrenia. Pharmacological </w:t>
      </w:r>
    </w:p>
    <w:p w:rsidR="0003007B" w:rsidRDefault="00A93E28" w:rsidP="00CD02A4">
      <w:pPr>
        <w:spacing w:after="0" w:line="480" w:lineRule="auto"/>
        <w:ind w:left="284" w:firstLine="436"/>
        <w:rPr>
          <w:rFonts w:ascii="Times New Roman" w:hAnsi="Times New Roman" w:cs="Times New Roman"/>
          <w:sz w:val="24"/>
        </w:rPr>
      </w:pPr>
      <w:bookmarkStart w:id="0" w:name="_GoBack"/>
      <w:bookmarkEnd w:id="0"/>
      <w:r>
        <w:rPr>
          <w:rFonts w:ascii="Times New Roman" w:hAnsi="Times New Roman" w:cs="Times New Roman"/>
          <w:sz w:val="24"/>
        </w:rPr>
        <w:t>Aspects, 12(3): 345-357</w:t>
      </w:r>
    </w:p>
    <w:p w:rsidR="00CD02A4" w:rsidRDefault="00CD02A4">
      <w:pPr>
        <w:spacing w:after="0" w:line="480" w:lineRule="auto"/>
        <w:ind w:left="284" w:hanging="284"/>
        <w:rPr>
          <w:rFonts w:ascii="Times New Roman" w:hAnsi="Times New Roman" w:cs="Times New Roman"/>
          <w:sz w:val="24"/>
        </w:rPr>
      </w:pPr>
    </w:p>
    <w:sectPr w:rsidR="00CD02A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E28" w:rsidRDefault="00A93E28">
      <w:pPr>
        <w:spacing w:after="0" w:line="240" w:lineRule="auto"/>
      </w:pPr>
      <w:r>
        <w:separator/>
      </w:r>
    </w:p>
  </w:endnote>
  <w:endnote w:type="continuationSeparator" w:id="0">
    <w:p w:rsidR="00A93E28" w:rsidRDefault="00A93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E28" w:rsidRDefault="00A93E28">
      <w:pPr>
        <w:spacing w:after="0" w:line="240" w:lineRule="auto"/>
      </w:pPr>
      <w:r>
        <w:separator/>
      </w:r>
    </w:p>
  </w:footnote>
  <w:footnote w:type="continuationSeparator" w:id="0">
    <w:p w:rsidR="00A93E28" w:rsidRDefault="00A93E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07B" w:rsidRDefault="00A93E28">
    <w:pPr>
      <w:pStyle w:val="Header"/>
      <w:jc w:val="right"/>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CD02A4">
      <w:rPr>
        <w:rFonts w:ascii="Times New Roman" w:hAnsi="Times New Roman" w:cs="Times New Roman"/>
        <w:noProof/>
        <w:sz w:val="24"/>
      </w:rPr>
      <w:t>5</w:t>
    </w:r>
    <w:r>
      <w:rPr>
        <w:rFonts w:ascii="Times New Roman" w:hAnsi="Times New Roman" w:cs="Times New Roman"/>
        <w:noProof/>
        <w:sz w:val="24"/>
      </w:rPr>
      <w:fldChar w:fldCharType="end"/>
    </w:r>
  </w:p>
  <w:p w:rsidR="0003007B" w:rsidRDefault="000300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07B"/>
    <w:rsid w:val="0003007B"/>
    <w:rsid w:val="00A93E28"/>
    <w:rsid w:val="00CD0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sz w:val="22"/>
      <w:szCs w:val="22"/>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sz w:val="22"/>
      <w:szCs w:val="22"/>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Max18</b:Tag>
    <b:SourceType>JournalArticle</b:SourceType>
    <b:Guid>{1FCD8FF5-FBD0-43E1-8B52-4BD74F47B0D1}</b:Guid>
    <b:Author>
      <b:Author>
        <b:NameList>
          <b:Person>
            <b:Last>Maxwell</b:Last>
          </b:Person>
        </b:NameList>
      </b:Author>
    </b:Author>
    <b:Year>2018</b:Year>
    <b:RefOrder>1</b:RefOrder>
  </b:Source>
</b:Sources>
</file>

<file path=customXml/itemProps1.xml><?xml version="1.0" encoding="utf-8"?>
<ds:datastoreItem xmlns:ds="http://schemas.openxmlformats.org/officeDocument/2006/customXml" ds:itemID="{F0B8037B-9CF2-40CE-B303-B7A038913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983</Words>
  <Characters>5606</Characters>
  <Application>Microsoft Office Word</Application>
  <DocSecurity>0</DocSecurity>
  <Lines>46</Lines>
  <Paragraphs>13</Paragraphs>
  <ScaleCrop>false</ScaleCrop>
  <Company/>
  <LinksUpToDate>false</LinksUpToDate>
  <CharactersWithSpaces>6576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Kamande</cp:lastModifiedBy>
  <cp:revision>3</cp:revision>
  <dcterms:created xsi:type="dcterms:W3CDTF">2020-08-07T12:14:00Z</dcterms:created>
  <dcterms:modified xsi:type="dcterms:W3CDTF">2020-08-07T14:37:00Z</dcterms:modified>
</cp:coreProperties>
</file>